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C1" w:rsidRPr="003871C1" w:rsidRDefault="003871C1" w:rsidP="003871C1">
      <w:pPr>
        <w:adjustRightInd w:val="0"/>
        <w:spacing w:afterLines="30" w:after="93" w:line="600" w:lineRule="exact"/>
        <w:jc w:val="left"/>
        <w:rPr>
          <w:rFonts w:ascii="黑体" w:eastAsia="黑体" w:hAnsi="黑体" w:hint="eastAsia"/>
          <w:sz w:val="44"/>
          <w:szCs w:val="44"/>
        </w:rPr>
      </w:pPr>
      <w:r w:rsidRPr="003871C1">
        <w:rPr>
          <w:rFonts w:ascii="黑体" w:eastAsia="黑体" w:hAnsi="黑体" w:hint="eastAsia"/>
          <w:szCs w:val="44"/>
        </w:rPr>
        <w:t>附表</w:t>
      </w:r>
    </w:p>
    <w:p w:rsidR="00A27063" w:rsidRDefault="00B77F5E" w:rsidP="003871C1">
      <w:pPr>
        <w:adjustRightInd w:val="0"/>
        <w:spacing w:beforeLines="30" w:before="93" w:afterLines="30" w:after="93"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案件简介表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2427"/>
        <w:gridCol w:w="1812"/>
        <w:gridCol w:w="3216"/>
      </w:tblGrid>
      <w:tr w:rsidR="00A27063" w:rsidTr="003871C1">
        <w:trPr>
          <w:trHeight w:val="875"/>
          <w:jc w:val="center"/>
        </w:trPr>
        <w:tc>
          <w:tcPr>
            <w:tcW w:w="2026" w:type="dxa"/>
            <w:vAlign w:val="center"/>
          </w:tcPr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案件名称</w:t>
            </w:r>
          </w:p>
        </w:tc>
        <w:tc>
          <w:tcPr>
            <w:tcW w:w="7455" w:type="dxa"/>
            <w:gridSpan w:val="3"/>
            <w:vAlign w:val="center"/>
          </w:tcPr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格式为“案件所属辖区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+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赔偿义务人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(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企业或个人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) +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损害行为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+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损害对象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+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生态环境损害赔偿案”。</w:t>
            </w:r>
          </w:p>
        </w:tc>
      </w:tr>
      <w:tr w:rsidR="00A27063">
        <w:trPr>
          <w:trHeight w:val="567"/>
          <w:jc w:val="center"/>
        </w:trPr>
        <w:tc>
          <w:tcPr>
            <w:tcW w:w="2026" w:type="dxa"/>
            <w:vAlign w:val="center"/>
          </w:tcPr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赔偿权利人</w:t>
            </w:r>
          </w:p>
        </w:tc>
        <w:tc>
          <w:tcPr>
            <w:tcW w:w="2427" w:type="dxa"/>
            <w:vAlign w:val="center"/>
          </w:tcPr>
          <w:p w:rsidR="00A27063" w:rsidRDefault="00A27063" w:rsidP="003871C1">
            <w:pPr>
              <w:widowControl/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spacing w:val="10"/>
                <w:kern w:val="0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赔偿义务人</w:t>
            </w:r>
          </w:p>
        </w:tc>
        <w:tc>
          <w:tcPr>
            <w:tcW w:w="3216" w:type="dxa"/>
            <w:vAlign w:val="center"/>
          </w:tcPr>
          <w:p w:rsidR="00A27063" w:rsidRDefault="00A27063" w:rsidP="003871C1">
            <w:pPr>
              <w:widowControl/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spacing w:val="10"/>
                <w:kern w:val="0"/>
                <w:sz w:val="24"/>
              </w:rPr>
            </w:pPr>
          </w:p>
        </w:tc>
      </w:tr>
      <w:tr w:rsidR="00A27063">
        <w:trPr>
          <w:trHeight w:val="567"/>
          <w:jc w:val="center"/>
        </w:trPr>
        <w:tc>
          <w:tcPr>
            <w:tcW w:w="2026" w:type="dxa"/>
            <w:vAlign w:val="center"/>
          </w:tcPr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案件线索来源</w:t>
            </w:r>
          </w:p>
        </w:tc>
        <w:tc>
          <w:tcPr>
            <w:tcW w:w="2427" w:type="dxa"/>
            <w:vAlign w:val="center"/>
          </w:tcPr>
          <w:p w:rsidR="00A27063" w:rsidRDefault="00A27063" w:rsidP="003871C1">
            <w:pPr>
              <w:widowControl/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spacing w:val="10"/>
                <w:kern w:val="0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办案单位</w:t>
            </w:r>
          </w:p>
        </w:tc>
        <w:tc>
          <w:tcPr>
            <w:tcW w:w="3216" w:type="dxa"/>
            <w:vAlign w:val="center"/>
          </w:tcPr>
          <w:p w:rsidR="00A27063" w:rsidRDefault="00A27063" w:rsidP="003871C1">
            <w:pPr>
              <w:widowControl/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spacing w:val="10"/>
                <w:kern w:val="0"/>
                <w:sz w:val="24"/>
              </w:rPr>
            </w:pPr>
          </w:p>
        </w:tc>
      </w:tr>
      <w:tr w:rsidR="00A27063" w:rsidTr="003871C1">
        <w:trPr>
          <w:trHeight w:val="1667"/>
          <w:jc w:val="center"/>
        </w:trPr>
        <w:tc>
          <w:tcPr>
            <w:tcW w:w="2026" w:type="dxa"/>
            <w:vAlign w:val="center"/>
          </w:tcPr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事件地点</w:t>
            </w:r>
          </w:p>
        </w:tc>
        <w:tc>
          <w:tcPr>
            <w:tcW w:w="7455" w:type="dxa"/>
            <w:gridSpan w:val="3"/>
            <w:vAlign w:val="center"/>
          </w:tcPr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□市域内，具体地点为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  <w:u w:val="single"/>
              </w:rPr>
              <w:t xml:space="preserve">             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□跨地市，具体地点为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  <w:u w:val="single"/>
              </w:rPr>
              <w:t xml:space="preserve">             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□跨省域，具体地点为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  <w:u w:val="single"/>
              </w:rPr>
              <w:t xml:space="preserve">             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□其它：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  <w:u w:val="single"/>
              </w:rPr>
              <w:t xml:space="preserve">                    </w:t>
            </w:r>
          </w:p>
        </w:tc>
      </w:tr>
      <w:tr w:rsidR="00A27063">
        <w:trPr>
          <w:trHeight w:val="567"/>
          <w:jc w:val="center"/>
        </w:trPr>
        <w:tc>
          <w:tcPr>
            <w:tcW w:w="2026" w:type="dxa"/>
            <w:tcBorders>
              <w:bottom w:val="nil"/>
            </w:tcBorders>
            <w:vAlign w:val="center"/>
          </w:tcPr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损害类型</w:t>
            </w:r>
          </w:p>
        </w:tc>
        <w:tc>
          <w:tcPr>
            <w:tcW w:w="7455" w:type="dxa"/>
            <w:gridSpan w:val="3"/>
            <w:tcBorders>
              <w:bottom w:val="nil"/>
            </w:tcBorders>
            <w:vAlign w:val="center"/>
          </w:tcPr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大气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地表水和沉积物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土壤和地下水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生态破坏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□其它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          </w:t>
            </w:r>
          </w:p>
        </w:tc>
      </w:tr>
      <w:tr w:rsidR="00A27063">
        <w:trPr>
          <w:trHeight w:val="4830"/>
          <w:jc w:val="center"/>
        </w:trPr>
        <w:tc>
          <w:tcPr>
            <w:tcW w:w="2026" w:type="dxa"/>
            <w:vAlign w:val="center"/>
          </w:tcPr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鉴定情况</w:t>
            </w:r>
          </w:p>
        </w:tc>
        <w:tc>
          <w:tcPr>
            <w:tcW w:w="7455" w:type="dxa"/>
            <w:gridSpan w:val="3"/>
            <w:vAlign w:val="center"/>
          </w:tcPr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1.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□调查单位自行认定；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2.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□相关领域专家库或专家委员会的专家意见；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3.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□有资质的鉴定评估机构出具生态环境损害鉴定评估报告；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4.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评估意见及结果：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□不可量化损失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□可量化损失，合计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万元，包括：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kern w:val="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清除污染的费用：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          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ind w:rightChars="100" w:right="32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生态环境恢复费用：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 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ind w:rightChars="100" w:right="320"/>
              <w:jc w:val="left"/>
              <w:rPr>
                <w:rFonts w:ascii="仿宋" w:eastAsia="仿宋" w:hAnsi="仿宋"/>
                <w:kern w:val="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生态环境恢复期间服务功能的损失：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ind w:rightChars="100" w:right="32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生态环境功能永久性损害造成的损失：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ind w:rightChars="100" w:right="320"/>
              <w:jc w:val="left"/>
              <w:rPr>
                <w:rFonts w:ascii="仿宋" w:eastAsia="仿宋" w:hAnsi="仿宋"/>
                <w:kern w:val="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生态环境损害赔偿调查、鉴定评估等费用：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</w:t>
            </w:r>
          </w:p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防止损害的发生和扩大所支出的合理费用：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</w:t>
            </w:r>
          </w:p>
        </w:tc>
      </w:tr>
      <w:tr w:rsidR="00A27063" w:rsidTr="003871C1">
        <w:trPr>
          <w:trHeight w:val="1954"/>
          <w:jc w:val="center"/>
        </w:trPr>
        <w:tc>
          <w:tcPr>
            <w:tcW w:w="2026" w:type="dxa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磋商情况</w:t>
            </w:r>
          </w:p>
        </w:tc>
        <w:tc>
          <w:tcPr>
            <w:tcW w:w="7455" w:type="dxa"/>
            <w:gridSpan w:val="3"/>
          </w:tcPr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是否开展磋商：□是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□否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1.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修复方式：□原位修复□替代修复□其他：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 xml:space="preserve">        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2.</w:t>
            </w:r>
            <w:proofErr w:type="gramStart"/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赔偿总</w:t>
            </w:r>
            <w:proofErr w:type="gramEnd"/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金额（万元）：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万元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ind w:rightChars="100" w:right="32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3.</w:t>
            </w:r>
            <w:r>
              <w:rPr>
                <w:rFonts w:ascii="仿宋" w:eastAsia="仿宋" w:hAnsi="仿宋" w:hint="eastAsia"/>
                <w:kern w:val="0"/>
                <w:sz w:val="24"/>
              </w:rPr>
              <w:t>赔偿方式：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ind w:rightChars="100" w:right="320"/>
              <w:jc w:val="left"/>
              <w:rPr>
                <w:rFonts w:ascii="仿宋" w:eastAsia="仿宋" w:hAnsi="仿宋" w:cs="宋体"/>
                <w:kern w:val="0"/>
                <w:sz w:val="24"/>
                <w:u w:val="single"/>
                <w:lang w:bidi="ar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4.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磋商协议司法确认情况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：□是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□否</w:t>
            </w:r>
          </w:p>
        </w:tc>
      </w:tr>
      <w:tr w:rsidR="00A27063">
        <w:trPr>
          <w:trHeight w:val="567"/>
          <w:jc w:val="center"/>
        </w:trPr>
        <w:tc>
          <w:tcPr>
            <w:tcW w:w="2026" w:type="dxa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诉讼情况</w:t>
            </w:r>
          </w:p>
        </w:tc>
        <w:tc>
          <w:tcPr>
            <w:tcW w:w="7455" w:type="dxa"/>
            <w:gridSpan w:val="3"/>
          </w:tcPr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是否提起诉讼：□是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□否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ind w:rightChars="100" w:right="32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1.</w:t>
            </w:r>
            <w:r>
              <w:rPr>
                <w:rFonts w:ascii="仿宋" w:eastAsia="仿宋" w:hAnsi="仿宋" w:hint="eastAsia"/>
                <w:kern w:val="0"/>
                <w:sz w:val="24"/>
              </w:rPr>
              <w:t>诉讼对索赔请求是否支持：</w:t>
            </w:r>
            <w:r>
              <w:rPr>
                <w:rFonts w:ascii="仿宋" w:eastAsia="仿宋" w:hAnsi="仿宋" w:cs="宋体" w:hint="eastAsia"/>
                <w:kern w:val="0"/>
                <w:sz w:val="24"/>
                <w:u w:val="single"/>
                <w:lang w:bidi="ar"/>
              </w:rPr>
              <w:t xml:space="preserve">                                 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2.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修复方式：□原位修复□替代修复□其他：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 xml:space="preserve">        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lastRenderedPageBreak/>
              <w:t>3.</w:t>
            </w:r>
            <w:proofErr w:type="gramStart"/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赔偿总</w:t>
            </w:r>
            <w:proofErr w:type="gramEnd"/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金额（万元）：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万元</w:t>
            </w:r>
          </w:p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4.</w:t>
            </w:r>
            <w:r>
              <w:rPr>
                <w:rFonts w:ascii="仿宋" w:eastAsia="仿宋" w:hAnsi="仿宋" w:hint="eastAsia"/>
                <w:kern w:val="0"/>
                <w:sz w:val="24"/>
              </w:rPr>
              <w:t>赔偿方式：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    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 xml:space="preserve"> </w:t>
            </w:r>
          </w:p>
        </w:tc>
      </w:tr>
      <w:tr w:rsidR="00A27063">
        <w:trPr>
          <w:trHeight w:val="567"/>
          <w:jc w:val="center"/>
        </w:trPr>
        <w:tc>
          <w:tcPr>
            <w:tcW w:w="2026" w:type="dxa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lastRenderedPageBreak/>
              <w:t>环境修复情况</w:t>
            </w:r>
          </w:p>
        </w:tc>
        <w:tc>
          <w:tcPr>
            <w:tcW w:w="7455" w:type="dxa"/>
            <w:gridSpan w:val="3"/>
          </w:tcPr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□正在修复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□已完成修复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□没完成修复，原因：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 xml:space="preserve">                                 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 w:cs="宋体"/>
                <w:kern w:val="0"/>
                <w:sz w:val="24"/>
                <w:u w:val="single"/>
                <w:lang w:bidi="ar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修复工程量：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u w:val="single"/>
                <w:lang w:bidi="ar"/>
              </w:rPr>
              <w:t xml:space="preserve">    </w:t>
            </w:r>
          </w:p>
        </w:tc>
      </w:tr>
      <w:tr w:rsidR="00A27063">
        <w:trPr>
          <w:trHeight w:val="567"/>
          <w:jc w:val="center"/>
        </w:trPr>
        <w:tc>
          <w:tcPr>
            <w:tcW w:w="2026" w:type="dxa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资金情况</w:t>
            </w:r>
          </w:p>
        </w:tc>
        <w:tc>
          <w:tcPr>
            <w:tcW w:w="7455" w:type="dxa"/>
            <w:gridSpan w:val="3"/>
          </w:tcPr>
          <w:p w:rsidR="00A27063" w:rsidRDefault="00B77F5E" w:rsidP="003871C1">
            <w:pPr>
              <w:widowControl/>
              <w:numPr>
                <w:ilvl w:val="0"/>
                <w:numId w:val="1"/>
              </w:num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资金进入：□国库一般预算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□设立专项资金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 xml:space="preserve"> 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□其他：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 xml:space="preserve">                       </w:t>
            </w:r>
          </w:p>
          <w:p w:rsidR="00A27063" w:rsidRDefault="00B77F5E" w:rsidP="003871C1">
            <w:pPr>
              <w:widowControl/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spacing w:val="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2.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资金使用情况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                                                      </w:t>
            </w: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 xml:space="preserve">                                          </w:t>
            </w:r>
          </w:p>
        </w:tc>
      </w:tr>
      <w:tr w:rsidR="00A27063">
        <w:trPr>
          <w:trHeight w:val="567"/>
          <w:jc w:val="center"/>
        </w:trPr>
        <w:tc>
          <w:tcPr>
            <w:tcW w:w="2026" w:type="dxa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hint="eastAsia"/>
                <w:spacing w:val="10"/>
                <w:kern w:val="0"/>
                <w:sz w:val="24"/>
              </w:rPr>
              <w:t>其他情况</w:t>
            </w:r>
          </w:p>
        </w:tc>
        <w:tc>
          <w:tcPr>
            <w:tcW w:w="7455" w:type="dxa"/>
            <w:gridSpan w:val="3"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27063" w:rsidRDefault="00A27063" w:rsidP="003871C1">
            <w:pPr>
              <w:snapToGrid w:val="0"/>
              <w:spacing w:beforeLines="10" w:before="31" w:afterLines="10" w:after="31" w:line="340" w:lineRule="atLeast"/>
            </w:pPr>
          </w:p>
          <w:p w:rsidR="00A27063" w:rsidRDefault="00A27063" w:rsidP="003871C1">
            <w:pPr>
              <w:snapToGrid w:val="0"/>
              <w:spacing w:beforeLines="10" w:before="31" w:afterLines="10" w:after="31" w:line="340" w:lineRule="atLeast"/>
            </w:pPr>
          </w:p>
        </w:tc>
      </w:tr>
    </w:tbl>
    <w:p w:rsidR="00A27063" w:rsidRDefault="00A27063">
      <w:pPr>
        <w:spacing w:line="20" w:lineRule="exact"/>
      </w:pPr>
    </w:p>
    <w:p w:rsidR="00A27063" w:rsidRDefault="00A27063">
      <w:pPr>
        <w:rPr>
          <w:rFonts w:ascii="新宋体" w:eastAsia="新宋体" w:hAnsi="新宋体" w:cs="新宋体"/>
          <w:sz w:val="24"/>
        </w:rPr>
      </w:pPr>
    </w:p>
    <w:p w:rsidR="00A27063" w:rsidRDefault="00A27063">
      <w:pPr>
        <w:rPr>
          <w:rFonts w:ascii="Arial" w:hAnsi="Arial" w:cs="Arial"/>
          <w:kern w:val="0"/>
          <w:sz w:val="24"/>
        </w:rPr>
      </w:pPr>
    </w:p>
    <w:p w:rsidR="003871C1" w:rsidRDefault="003871C1">
      <w:pPr>
        <w:adjustRightInd w:val="0"/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3871C1" w:rsidRDefault="003871C1">
      <w:pPr>
        <w:adjustRightInd w:val="0"/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3871C1" w:rsidRDefault="003871C1">
      <w:pPr>
        <w:adjustRightInd w:val="0"/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3871C1" w:rsidRDefault="003871C1">
      <w:pPr>
        <w:adjustRightInd w:val="0"/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3871C1" w:rsidRDefault="003871C1">
      <w:pPr>
        <w:adjustRightInd w:val="0"/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3871C1" w:rsidRDefault="003871C1">
      <w:pPr>
        <w:adjustRightInd w:val="0"/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3871C1" w:rsidRDefault="003871C1">
      <w:pPr>
        <w:adjustRightInd w:val="0"/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3871C1" w:rsidRDefault="003871C1">
      <w:pPr>
        <w:adjustRightInd w:val="0"/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3871C1" w:rsidRDefault="003871C1">
      <w:pPr>
        <w:adjustRightInd w:val="0"/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3871C1" w:rsidRDefault="003871C1">
      <w:pPr>
        <w:adjustRightInd w:val="0"/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3871C1" w:rsidRDefault="003871C1">
      <w:pPr>
        <w:adjustRightInd w:val="0"/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3871C1" w:rsidRDefault="003871C1">
      <w:pPr>
        <w:adjustRightInd w:val="0"/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3871C1" w:rsidRDefault="003871C1">
      <w:pPr>
        <w:adjustRightInd w:val="0"/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bookmarkEnd w:id="0"/>
    </w:p>
    <w:p w:rsidR="003871C1" w:rsidRDefault="003871C1">
      <w:pPr>
        <w:adjustRightInd w:val="0"/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A27063" w:rsidRDefault="00B77F5E">
      <w:pPr>
        <w:adjustRightInd w:val="0"/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生态环境损害赔偿案件典型案例评分表</w:t>
      </w:r>
      <w:r>
        <w:rPr>
          <w:rFonts w:ascii="方正小标宋简体" w:eastAsia="方正小标宋简体" w:hAnsi="黑体"/>
          <w:sz w:val="44"/>
          <w:szCs w:val="44"/>
        </w:rPr>
        <w:br/>
      </w:r>
      <w:r>
        <w:rPr>
          <w:rFonts w:ascii="方正小标宋简体" w:eastAsia="方正小标宋简体" w:hAnsi="黑体" w:hint="eastAsia"/>
          <w:sz w:val="44"/>
          <w:szCs w:val="44"/>
        </w:rPr>
        <w:t>（样表）</w:t>
      </w:r>
    </w:p>
    <w:p w:rsidR="00A27063" w:rsidRDefault="00B77F5E">
      <w:pPr>
        <w:rPr>
          <w:sz w:val="24"/>
        </w:rPr>
      </w:pPr>
      <w:r>
        <w:rPr>
          <w:rFonts w:ascii="仿宋_GB2312" w:hint="eastAsia"/>
          <w:spacing w:val="10"/>
          <w:kern w:val="0"/>
          <w:sz w:val="28"/>
          <w:szCs w:val="28"/>
        </w:rPr>
        <w:t>案件名称：</w:t>
      </w:r>
      <w:r>
        <w:rPr>
          <w:rFonts w:ascii="仿宋_GB2312" w:hint="eastAsia"/>
          <w:spacing w:val="10"/>
          <w:kern w:val="0"/>
          <w:sz w:val="28"/>
          <w:szCs w:val="28"/>
        </w:rPr>
        <w:t xml:space="preserve">                     </w:t>
      </w:r>
      <w:r>
        <w:rPr>
          <w:rFonts w:ascii="仿宋_GB2312" w:hint="eastAsia"/>
          <w:spacing w:val="10"/>
          <w:kern w:val="0"/>
          <w:sz w:val="28"/>
          <w:szCs w:val="28"/>
        </w:rPr>
        <w:t>办案单位：</w:t>
      </w:r>
      <w:r>
        <w:rPr>
          <w:rFonts w:ascii="仿宋_GB2312" w:hint="eastAsia"/>
          <w:spacing w:val="10"/>
          <w:kern w:val="0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4002"/>
        <w:gridCol w:w="1065"/>
        <w:gridCol w:w="2287"/>
      </w:tblGrid>
      <w:tr w:rsidR="00A27063">
        <w:trPr>
          <w:trHeight w:val="552"/>
          <w:tblHeader/>
        </w:trPr>
        <w:tc>
          <w:tcPr>
            <w:tcW w:w="685" w:type="pct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评选标准</w:t>
            </w:r>
          </w:p>
        </w:tc>
        <w:tc>
          <w:tcPr>
            <w:tcW w:w="2348" w:type="pct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625" w:type="pct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得分</w:t>
            </w:r>
          </w:p>
        </w:tc>
        <w:tc>
          <w:tcPr>
            <w:tcW w:w="1342" w:type="pct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27063">
        <w:trPr>
          <w:trHeight w:val="810"/>
        </w:trPr>
        <w:tc>
          <w:tcPr>
            <w:tcW w:w="685" w:type="pct"/>
            <w:vMerge w:val="restart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案件管理工作层面（</w:t>
            </w:r>
            <w:r>
              <w:rPr>
                <w:rFonts w:ascii="仿宋" w:eastAsia="仿宋" w:hAnsi="仿宋" w:hint="eastAsia"/>
                <w:kern w:val="0"/>
                <w:sz w:val="24"/>
              </w:rPr>
              <w:t>70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分）</w:t>
            </w:r>
          </w:p>
        </w:tc>
        <w:tc>
          <w:tcPr>
            <w:tcW w:w="2348" w:type="pct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环境损害调查、鉴定评估的及时性等（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分）</w:t>
            </w:r>
          </w:p>
        </w:tc>
        <w:tc>
          <w:tcPr>
            <w:tcW w:w="625" w:type="pct"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342" w:type="pct"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A27063">
        <w:trPr>
          <w:trHeight w:val="777"/>
        </w:trPr>
        <w:tc>
          <w:tcPr>
            <w:tcW w:w="685" w:type="pct"/>
            <w:vMerge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48" w:type="pct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磋商工作程序化、次数、时长等（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分）</w:t>
            </w:r>
          </w:p>
        </w:tc>
        <w:tc>
          <w:tcPr>
            <w:tcW w:w="625" w:type="pct"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342" w:type="pct"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A27063">
        <w:trPr>
          <w:trHeight w:val="734"/>
        </w:trPr>
        <w:tc>
          <w:tcPr>
            <w:tcW w:w="685" w:type="pct"/>
            <w:vMerge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48" w:type="pct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责任承担方式的创新性（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分）</w:t>
            </w:r>
          </w:p>
        </w:tc>
        <w:tc>
          <w:tcPr>
            <w:tcW w:w="625" w:type="pct"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342" w:type="pct"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A27063" w:rsidTr="003871C1">
        <w:trPr>
          <w:trHeight w:val="882"/>
        </w:trPr>
        <w:tc>
          <w:tcPr>
            <w:tcW w:w="685" w:type="pct"/>
            <w:vMerge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48" w:type="pct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环境修复的有效性、监督机制的</w:t>
            </w:r>
            <w:r>
              <w:rPr>
                <w:rFonts w:ascii="仿宋" w:eastAsia="仿宋" w:hAnsi="仿宋"/>
                <w:kern w:val="0"/>
                <w:sz w:val="24"/>
              </w:rPr>
              <w:t>完善程度</w:t>
            </w:r>
            <w:r>
              <w:rPr>
                <w:rFonts w:ascii="仿宋" w:eastAsia="仿宋" w:hAnsi="仿宋" w:hint="eastAsia"/>
                <w:kern w:val="0"/>
                <w:sz w:val="24"/>
              </w:rPr>
              <w:t>等（</w:t>
            </w:r>
            <w:r>
              <w:rPr>
                <w:rFonts w:ascii="仿宋" w:eastAsia="仿宋" w:hAnsi="仿宋" w:hint="eastAsia"/>
                <w:kern w:val="0"/>
                <w:sz w:val="24"/>
              </w:rPr>
              <w:t>20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分）</w:t>
            </w:r>
          </w:p>
        </w:tc>
        <w:tc>
          <w:tcPr>
            <w:tcW w:w="625" w:type="pct"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342" w:type="pct"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A27063">
        <w:trPr>
          <w:trHeight w:val="1325"/>
        </w:trPr>
        <w:tc>
          <w:tcPr>
            <w:tcW w:w="685" w:type="pct"/>
            <w:vMerge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48" w:type="pct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生态环境损害赔偿资金管理模式的典型性：依法合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</w:rPr>
              <w:t>、公开透明、跟踪问效等（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分）</w:t>
            </w:r>
          </w:p>
        </w:tc>
        <w:tc>
          <w:tcPr>
            <w:tcW w:w="625" w:type="pct"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342" w:type="pct"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A27063">
        <w:trPr>
          <w:trHeight w:val="630"/>
        </w:trPr>
        <w:tc>
          <w:tcPr>
            <w:tcW w:w="685" w:type="pct"/>
            <w:vMerge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48" w:type="pct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磋商协议司法确认（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分）</w:t>
            </w:r>
          </w:p>
        </w:tc>
        <w:tc>
          <w:tcPr>
            <w:tcW w:w="625" w:type="pct"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342" w:type="pct"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A27063">
        <w:trPr>
          <w:trHeight w:val="755"/>
        </w:trPr>
        <w:tc>
          <w:tcPr>
            <w:tcW w:w="685" w:type="pct"/>
            <w:vMerge w:val="restart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损害鉴定评估技术层面（</w:t>
            </w:r>
            <w:r>
              <w:rPr>
                <w:rFonts w:ascii="仿宋" w:eastAsia="仿宋" w:hAnsi="仿宋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分）</w:t>
            </w:r>
          </w:p>
        </w:tc>
        <w:tc>
          <w:tcPr>
            <w:tcW w:w="2348" w:type="pct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环境损害调查报告的科学性（</w:t>
            </w:r>
            <w:r>
              <w:rPr>
                <w:rFonts w:ascii="仿宋" w:eastAsia="仿宋" w:hAnsi="仿宋"/>
                <w:kern w:val="0"/>
                <w:sz w:val="24"/>
              </w:rPr>
              <w:t>4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分）</w:t>
            </w:r>
          </w:p>
        </w:tc>
        <w:tc>
          <w:tcPr>
            <w:tcW w:w="625" w:type="pct"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342" w:type="pct"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A27063">
        <w:trPr>
          <w:trHeight w:val="855"/>
        </w:trPr>
        <w:tc>
          <w:tcPr>
            <w:tcW w:w="685" w:type="pct"/>
            <w:vMerge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48" w:type="pct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生态环境损害鉴定报告或专家评估意见的规范性、全面性（</w:t>
            </w:r>
            <w:r>
              <w:rPr>
                <w:rFonts w:ascii="仿宋" w:eastAsia="仿宋" w:hAnsi="仿宋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分）</w:t>
            </w:r>
          </w:p>
        </w:tc>
        <w:tc>
          <w:tcPr>
            <w:tcW w:w="625" w:type="pct"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342" w:type="pct"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A27063" w:rsidTr="003871C1">
        <w:trPr>
          <w:trHeight w:val="916"/>
        </w:trPr>
        <w:tc>
          <w:tcPr>
            <w:tcW w:w="685" w:type="pct"/>
            <w:vMerge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48" w:type="pct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生态修复方案的科学性、可行性以及生态环境修复效果情况（</w:t>
            </w:r>
            <w:r>
              <w:rPr>
                <w:rFonts w:ascii="仿宋" w:eastAsia="仿宋" w:hAnsi="仿宋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分）</w:t>
            </w:r>
          </w:p>
        </w:tc>
        <w:tc>
          <w:tcPr>
            <w:tcW w:w="625" w:type="pct"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342" w:type="pct"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A27063" w:rsidTr="003871C1">
        <w:trPr>
          <w:trHeight w:val="1964"/>
        </w:trPr>
        <w:tc>
          <w:tcPr>
            <w:tcW w:w="685" w:type="pct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社会影响和法治</w:t>
            </w:r>
            <w:r>
              <w:rPr>
                <w:rFonts w:ascii="仿宋" w:eastAsia="仿宋" w:hAnsi="仿宋"/>
                <w:kern w:val="0"/>
                <w:sz w:val="24"/>
              </w:rPr>
              <w:t>价值层面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分）</w:t>
            </w:r>
          </w:p>
        </w:tc>
        <w:tc>
          <w:tcPr>
            <w:tcW w:w="2348" w:type="pct"/>
            <w:vAlign w:val="center"/>
          </w:tcPr>
          <w:p w:rsidR="00A27063" w:rsidRDefault="00B77F5E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案例具有</w:t>
            </w:r>
            <w:r>
              <w:rPr>
                <w:rFonts w:ascii="仿宋" w:eastAsia="仿宋" w:hAnsi="仿宋"/>
                <w:kern w:val="0"/>
                <w:sz w:val="24"/>
              </w:rPr>
              <w:t>代表性、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典型性</w:t>
            </w:r>
            <w:r>
              <w:rPr>
                <w:rFonts w:ascii="仿宋" w:eastAsia="仿宋" w:hAnsi="仿宋"/>
                <w:kern w:val="0"/>
                <w:sz w:val="24"/>
              </w:rPr>
              <w:t>，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为生态</w:t>
            </w:r>
            <w:r>
              <w:rPr>
                <w:rFonts w:ascii="仿宋" w:eastAsia="仿宋" w:hAnsi="仿宋"/>
                <w:kern w:val="0"/>
                <w:sz w:val="24"/>
              </w:rPr>
              <w:t>环境损害赔偿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工作取得</w:t>
            </w:r>
            <w:r>
              <w:rPr>
                <w:rFonts w:ascii="仿宋" w:eastAsia="仿宋" w:hAnsi="仿宋"/>
                <w:kern w:val="0"/>
                <w:sz w:val="24"/>
              </w:rPr>
              <w:t>实效进行了有益探索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，在社会上产生一定影响，</w:t>
            </w:r>
            <w:r>
              <w:rPr>
                <w:rFonts w:ascii="仿宋" w:eastAsia="仿宋" w:hAnsi="仿宋"/>
                <w:kern w:val="0"/>
                <w:sz w:val="24"/>
              </w:rPr>
              <w:t>法律效果和社会效果俱佳</w:t>
            </w:r>
            <w:r>
              <w:rPr>
                <w:rFonts w:ascii="仿宋" w:eastAsia="仿宋" w:hAnsi="仿宋" w:hint="eastAsia"/>
                <w:kern w:val="0"/>
                <w:sz w:val="24"/>
              </w:rPr>
              <w:t>。（</w:t>
            </w:r>
            <w:r>
              <w:rPr>
                <w:rFonts w:ascii="仿宋" w:eastAsia="仿宋" w:hAnsi="仿宋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分）</w:t>
            </w:r>
          </w:p>
        </w:tc>
        <w:tc>
          <w:tcPr>
            <w:tcW w:w="625" w:type="pct"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342" w:type="pct"/>
            <w:vAlign w:val="center"/>
          </w:tcPr>
          <w:p w:rsidR="00A27063" w:rsidRDefault="00A27063" w:rsidP="003871C1">
            <w:pPr>
              <w:snapToGrid w:val="0"/>
              <w:spacing w:beforeLines="10" w:before="31" w:afterLines="10" w:after="31" w:line="340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</w:tbl>
    <w:p w:rsidR="00A27063" w:rsidRDefault="00B77F5E">
      <w:pPr>
        <w:jc w:val="left"/>
        <w:rPr>
          <w:rFonts w:ascii="仿宋_GB2312"/>
          <w:spacing w:val="10"/>
          <w:kern w:val="0"/>
          <w:sz w:val="28"/>
          <w:szCs w:val="28"/>
        </w:rPr>
      </w:pPr>
      <w:r>
        <w:rPr>
          <w:rFonts w:hint="eastAsia"/>
          <w:sz w:val="24"/>
        </w:rPr>
        <w:t>注：凡不涉及的内容，得分</w:t>
      </w:r>
      <w:r>
        <w:rPr>
          <w:sz w:val="24"/>
        </w:rPr>
        <w:t>以</w:t>
      </w:r>
      <w:r>
        <w:rPr>
          <w:rFonts w:hint="eastAsia"/>
          <w:sz w:val="24"/>
        </w:rPr>
        <w:t>满分计。</w:t>
      </w:r>
    </w:p>
    <w:p w:rsidR="00A27063" w:rsidRDefault="00B77F5E">
      <w:r>
        <w:rPr>
          <w:rFonts w:ascii="仿宋_GB2312" w:hint="eastAsia"/>
          <w:spacing w:val="10"/>
          <w:kern w:val="0"/>
          <w:sz w:val="28"/>
          <w:szCs w:val="28"/>
        </w:rPr>
        <w:t>评分人：</w:t>
      </w:r>
      <w:r>
        <w:rPr>
          <w:rFonts w:ascii="仿宋_GB2312" w:hint="eastAsia"/>
          <w:spacing w:val="10"/>
          <w:kern w:val="0"/>
          <w:sz w:val="28"/>
          <w:szCs w:val="28"/>
        </w:rPr>
        <w:t xml:space="preserve">                             </w:t>
      </w:r>
      <w:r>
        <w:rPr>
          <w:rFonts w:ascii="仿宋_GB2312" w:hint="eastAsia"/>
          <w:spacing w:val="10"/>
          <w:kern w:val="0"/>
          <w:sz w:val="28"/>
          <w:szCs w:val="28"/>
        </w:rPr>
        <w:t>总得分：</w:t>
      </w:r>
    </w:p>
    <w:sectPr w:rsidR="00A27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5E" w:rsidRDefault="00B77F5E" w:rsidP="003871C1">
      <w:r>
        <w:separator/>
      </w:r>
    </w:p>
  </w:endnote>
  <w:endnote w:type="continuationSeparator" w:id="0">
    <w:p w:rsidR="00B77F5E" w:rsidRDefault="00B77F5E" w:rsidP="0038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5E" w:rsidRDefault="00B77F5E" w:rsidP="003871C1">
      <w:r>
        <w:separator/>
      </w:r>
    </w:p>
  </w:footnote>
  <w:footnote w:type="continuationSeparator" w:id="0">
    <w:p w:rsidR="00B77F5E" w:rsidRDefault="00B77F5E" w:rsidP="0038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E6A78"/>
    <w:multiLevelType w:val="singleLevel"/>
    <w:tmpl w:val="7FAE6A7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63"/>
    <w:rsid w:val="003871C1"/>
    <w:rsid w:val="00A27063"/>
    <w:rsid w:val="00B77F5E"/>
    <w:rsid w:val="00FF19F5"/>
    <w:rsid w:val="251A0B90"/>
    <w:rsid w:val="3B9F2171"/>
    <w:rsid w:val="3DE40E32"/>
    <w:rsid w:val="722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7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71C1"/>
    <w:rPr>
      <w:rFonts w:ascii="Calibri" w:eastAsia="仿宋_GB2312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87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71C1"/>
    <w:rPr>
      <w:rFonts w:ascii="Calibri" w:eastAsia="仿宋_GB2312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7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71C1"/>
    <w:rPr>
      <w:rFonts w:ascii="Calibri" w:eastAsia="仿宋_GB2312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87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71C1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韩阳</cp:lastModifiedBy>
  <cp:revision>3</cp:revision>
  <dcterms:created xsi:type="dcterms:W3CDTF">2022-03-04T03:30:00Z</dcterms:created>
  <dcterms:modified xsi:type="dcterms:W3CDTF">2022-03-04T03:41:00Z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04A02A61C4244055B479241FD6AFC032</vt:lpwstr>
  </property>
</Properties>
</file>